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>Весенний</w:t>
      </w:r>
      <w:bookmarkStart w:id="0" w:name="_GoBack"/>
      <w:bookmarkEnd w:id="0"/>
      <w:r>
        <w:rPr>
          <w:b/>
          <w:sz w:val="20"/>
          <w:szCs w:val="20"/>
        </w:rPr>
        <w:t xml:space="preserve"> семестр 202</w:t>
      </w:r>
      <w:r>
        <w:rPr>
          <w:rFonts w:hint="default"/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rFonts w:hint="default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>» 6В0230</w:t>
      </w:r>
      <w:r>
        <w:rPr>
          <w:rFonts w:hint="default"/>
          <w:b/>
          <w:sz w:val="20"/>
          <w:szCs w:val="20"/>
          <w:lang w:val="ru-RU"/>
        </w:rPr>
        <w:t>3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</w:t>
            </w: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Декан____________Б.У.Джолдасбекова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0263F3"/>
    <w:rsid w:val="211E16BA"/>
    <w:rsid w:val="280E640F"/>
    <w:rsid w:val="2CE5D884"/>
    <w:rsid w:val="2E2DA889"/>
    <w:rsid w:val="38AA3AE0"/>
    <w:rsid w:val="3C3D0F13"/>
    <w:rsid w:val="416217D9"/>
    <w:rsid w:val="594D7AEF"/>
    <w:rsid w:val="5BA66E7F"/>
    <w:rsid w:val="5E180968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B14CE-1B0C-471E-AF90-A44B8886F4C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customXml/itemProps4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2079</Words>
  <Characters>11856</Characters>
  <Lines>98</Lines>
  <Paragraphs>27</Paragraphs>
  <TotalTime>15</TotalTime>
  <ScaleCrop>false</ScaleCrop>
  <LinksUpToDate>false</LinksUpToDate>
  <CharactersWithSpaces>13908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2026-01-09T18:19:31Z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1049-12.2.0.23196</vt:lpwstr>
  </property>
  <property fmtid="{D5CDD505-2E9C-101B-9397-08002B2CF9AE}" pid="5" name="ICV">
    <vt:lpwstr>452CB2527F094920900EE60C56FC6EF7_13</vt:lpwstr>
  </property>
</Properties>
</file>